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B747" w14:textId="1CF70F82" w:rsidR="003928A6" w:rsidRPr="00FA4C56" w:rsidRDefault="00CA52BF" w:rsidP="00FA4C56">
      <w:pPr>
        <w:suppressAutoHyphens/>
        <w:spacing w:after="0" w:line="240" w:lineRule="auto"/>
        <w:jc w:val="both"/>
        <w:rPr>
          <w:rFonts w:ascii="Open Sans" w:hAnsi="Open Sans" w:cs="Open Sans"/>
          <w:b/>
          <w:bCs/>
          <w:sz w:val="21"/>
          <w:szCs w:val="21"/>
        </w:rPr>
      </w:pPr>
      <w:r w:rsidRPr="00FA4C56">
        <w:rPr>
          <w:rFonts w:ascii="Open Sans" w:hAnsi="Open Sans" w:cs="Open Sans"/>
          <w:b/>
          <w:bCs/>
          <w:sz w:val="21"/>
          <w:szCs w:val="21"/>
        </w:rPr>
        <w:t>Regione Emilia-Romagna: r</w:t>
      </w:r>
      <w:r w:rsidR="002A74EC" w:rsidRPr="00FA4C56">
        <w:rPr>
          <w:rFonts w:ascii="Open Sans" w:hAnsi="Open Sans" w:cs="Open Sans"/>
          <w:b/>
          <w:bCs/>
          <w:sz w:val="21"/>
          <w:szCs w:val="21"/>
        </w:rPr>
        <w:t>elazione su criticità riscontrate nell’esecuzione del PNAA 2021</w:t>
      </w:r>
      <w:r w:rsidR="00F74E99" w:rsidRPr="00FA4C56">
        <w:rPr>
          <w:rFonts w:ascii="Open Sans" w:hAnsi="Open Sans" w:cs="Open Sans"/>
          <w:b/>
          <w:bCs/>
          <w:sz w:val="21"/>
          <w:szCs w:val="21"/>
        </w:rPr>
        <w:t>-</w:t>
      </w:r>
      <w:r w:rsidR="002A74EC" w:rsidRPr="00FA4C56">
        <w:rPr>
          <w:rFonts w:ascii="Open Sans" w:hAnsi="Open Sans" w:cs="Open Sans"/>
          <w:b/>
          <w:bCs/>
          <w:sz w:val="21"/>
          <w:szCs w:val="21"/>
        </w:rPr>
        <w:t>2023</w:t>
      </w:r>
      <w:r w:rsidR="001474B8" w:rsidRPr="00FA4C56">
        <w:rPr>
          <w:rFonts w:ascii="Open Sans" w:hAnsi="Open Sans" w:cs="Open Sans"/>
          <w:b/>
          <w:bCs/>
          <w:sz w:val="21"/>
          <w:szCs w:val="21"/>
        </w:rPr>
        <w:t xml:space="preserve"> e proposte e </w:t>
      </w:r>
      <w:r w:rsidR="00366B76" w:rsidRPr="00FA4C56">
        <w:rPr>
          <w:rFonts w:ascii="Open Sans" w:hAnsi="Open Sans" w:cs="Open Sans"/>
          <w:b/>
          <w:bCs/>
          <w:sz w:val="21"/>
          <w:szCs w:val="21"/>
        </w:rPr>
        <w:t>suggerimenti</w:t>
      </w:r>
      <w:r w:rsidR="001474B8" w:rsidRPr="00FA4C56"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="00C71A67" w:rsidRPr="00FA4C56">
        <w:rPr>
          <w:rFonts w:ascii="Open Sans" w:hAnsi="Open Sans" w:cs="Open Sans"/>
          <w:b/>
          <w:bCs/>
          <w:sz w:val="21"/>
          <w:szCs w:val="21"/>
        </w:rPr>
        <w:t xml:space="preserve">per un miglioramento del programma di controllo </w:t>
      </w:r>
      <w:r w:rsidR="00F74E99" w:rsidRPr="00FA4C56">
        <w:rPr>
          <w:rFonts w:ascii="Open Sans" w:hAnsi="Open Sans" w:cs="Open Sans"/>
          <w:b/>
          <w:bCs/>
          <w:sz w:val="21"/>
          <w:szCs w:val="21"/>
        </w:rPr>
        <w:t xml:space="preserve">(risposta nota DGSAF </w:t>
      </w:r>
      <w:r w:rsidR="00F61BA3" w:rsidRPr="00FA4C56">
        <w:rPr>
          <w:rFonts w:ascii="Open Sans" w:hAnsi="Open Sans" w:cs="Open Sans"/>
          <w:b/>
          <w:bCs/>
          <w:sz w:val="21"/>
          <w:szCs w:val="21"/>
        </w:rPr>
        <w:t xml:space="preserve">prot. n. 17259 del </w:t>
      </w:r>
      <w:r w:rsidR="0066230B" w:rsidRPr="00FA4C56">
        <w:rPr>
          <w:rFonts w:ascii="Open Sans" w:hAnsi="Open Sans" w:cs="Open Sans"/>
          <w:b/>
          <w:bCs/>
          <w:sz w:val="21"/>
          <w:szCs w:val="21"/>
        </w:rPr>
        <w:t>3/7/2023)</w:t>
      </w:r>
    </w:p>
    <w:p w14:paraId="139970BA" w14:textId="77777777" w:rsidR="00FA4C56" w:rsidRDefault="00FA4C56" w:rsidP="00FA4C56">
      <w:pPr>
        <w:suppressAutoHyphens/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</w:p>
    <w:p w14:paraId="476E6388" w14:textId="77777777" w:rsidR="00FA4C56" w:rsidRDefault="00FA4C56" w:rsidP="00FA4C56">
      <w:pPr>
        <w:suppressAutoHyphens/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</w:p>
    <w:p w14:paraId="0CC761D5" w14:textId="4C2DC989" w:rsidR="00D346E7" w:rsidRPr="00FA4C56" w:rsidRDefault="00D346E7" w:rsidP="00FA4C56">
      <w:pPr>
        <w:suppressAutoHyphens/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FA4C56">
        <w:rPr>
          <w:rFonts w:ascii="Open Sans" w:hAnsi="Open Sans" w:cs="Open Sans"/>
          <w:b/>
          <w:bCs/>
          <w:sz w:val="21"/>
          <w:szCs w:val="21"/>
        </w:rPr>
        <w:t>Controperizia</w:t>
      </w:r>
    </w:p>
    <w:p w14:paraId="617841A4" w14:textId="00864EE4" w:rsidR="003B392B" w:rsidRPr="00FA4C56" w:rsidRDefault="00D346E7" w:rsidP="00FA4C56">
      <w:pPr>
        <w:suppressAutoHyphens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L’AC</w:t>
      </w:r>
      <w:r w:rsidR="0097649C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L</w:t>
      </w: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, nell’ambito della lettera di trasmissione della documentazione</w:t>
      </w:r>
      <w:r w:rsidR="000A4271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inerente </w:t>
      </w:r>
      <w:proofErr w:type="gramStart"/>
      <w:r w:rsidR="000A4271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la</w:t>
      </w:r>
      <w:proofErr w:type="gramEnd"/>
      <w:r w:rsidR="000A4271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documentazione utile all’espletamento della controperizia documentale da parte dell’</w:t>
      </w:r>
      <w:r w:rsidR="00D535A5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esperto</w:t>
      </w:r>
      <w:r w:rsidR="000A4271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qualificato</w:t>
      </w: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, deve fissare un termine entro il quale l’</w:t>
      </w:r>
      <w:r w:rsidR="00D535A5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OSM</w:t>
      </w: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deve far pervenire la relazione con le conclusioni. </w:t>
      </w:r>
      <w:r w:rsidR="002859D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Seppur la nota DGSAN/DGSA</w:t>
      </w:r>
      <w:r w:rsidR="00B97CE7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F n. </w:t>
      </w:r>
      <w:r w:rsidR="007B466E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21355_2023 non definisca delle tempistiche, i</w:t>
      </w: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tempi fissati non devono essere particolarmente lunghi, poiché, nella maggior parte dei casi, si accede </w:t>
      </w:r>
      <w:r w:rsidR="007569DE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anche </w:t>
      </w: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alla fase successiva della controversia e si rischia di giungere all</w:t>
      </w:r>
      <w:r w:rsidR="007569DE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’eventuale</w:t>
      </w: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fase analitica presso l’ISS quando il mangime è già scaduto; è normale, in questo caso, il conseguente annullamento della pratica per l’impossibilità di procedere alla verifica richiesta, vanificando il lavoro compiuto. Si suggerisce di </w:t>
      </w:r>
      <w:r w:rsidR="00E762A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formalizzare di </w:t>
      </w: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non concedere tempi superiori a 30 gg e comunque di regolarsi anche in base alla scadenza prevista del prodotto mangimistico campionato.</w:t>
      </w:r>
      <w:r w:rsidR="003B392B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Si evidenzia che</w:t>
      </w:r>
      <w:r w:rsidR="003B392B" w:rsidRPr="00FA4C56">
        <w:rPr>
          <w:rFonts w:ascii="Open Sans" w:hAnsi="Open Sans" w:cs="Open Sans"/>
          <w:i/>
          <w:iCs/>
          <w:kern w:val="0"/>
          <w:sz w:val="21"/>
          <w:szCs w:val="21"/>
          <w14:ligatures w14:val="none"/>
        </w:rPr>
        <w:t xml:space="preserve"> </w:t>
      </w:r>
      <w:r w:rsidR="003B392B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la pratica della sola controperizia analitica non è sufficiente per accedere alla successiva fase della controversia ma è indispensabile accedere preventivamente alla controperizia documentale</w:t>
      </w:r>
      <w:r w:rsidR="00076EAE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.</w:t>
      </w:r>
      <w:r w:rsidR="003B392B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</w:p>
    <w:p w14:paraId="6BDE6D6B" w14:textId="5D7B0F10" w:rsidR="00D346E7" w:rsidRPr="00FA4C56" w:rsidRDefault="00D346E7" w:rsidP="00FA4C56">
      <w:pPr>
        <w:suppressAutoHyphens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</w:p>
    <w:p w14:paraId="20514CD1" w14:textId="358E97EB" w:rsidR="00B56965" w:rsidRPr="00FA4C56" w:rsidRDefault="00B56965" w:rsidP="00FA4C56">
      <w:pPr>
        <w:suppressAutoHyphens/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FA4C56">
        <w:rPr>
          <w:rFonts w:ascii="Open Sans" w:hAnsi="Open Sans" w:cs="Open Sans"/>
          <w:b/>
          <w:bCs/>
          <w:sz w:val="21"/>
          <w:szCs w:val="21"/>
        </w:rPr>
        <w:t xml:space="preserve">Aliquota </w:t>
      </w:r>
      <w:r w:rsidR="0081697D" w:rsidRPr="00FA4C56">
        <w:rPr>
          <w:rFonts w:ascii="Open Sans" w:hAnsi="Open Sans" w:cs="Open Sans"/>
          <w:b/>
          <w:bCs/>
          <w:sz w:val="21"/>
          <w:szCs w:val="21"/>
        </w:rPr>
        <w:t xml:space="preserve">aggiuntiva </w:t>
      </w:r>
      <w:r w:rsidRPr="00FA4C56">
        <w:rPr>
          <w:rFonts w:ascii="Open Sans" w:hAnsi="Open Sans" w:cs="Open Sans"/>
          <w:b/>
          <w:bCs/>
          <w:sz w:val="21"/>
          <w:szCs w:val="21"/>
        </w:rPr>
        <w:t xml:space="preserve">per </w:t>
      </w:r>
      <w:r w:rsidR="0081697D" w:rsidRPr="00FA4C56">
        <w:rPr>
          <w:rFonts w:ascii="Open Sans" w:hAnsi="Open Sans" w:cs="Open Sans"/>
          <w:b/>
          <w:bCs/>
          <w:sz w:val="21"/>
          <w:szCs w:val="21"/>
        </w:rPr>
        <w:t>mangimi sfusi campionati in allevamento</w:t>
      </w:r>
    </w:p>
    <w:p w14:paraId="625B8A0A" w14:textId="30286806" w:rsidR="004819F2" w:rsidRPr="00FA4C56" w:rsidRDefault="00360529" w:rsidP="00FA4C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La nota DGSAN/DGSAF n. 21355</w:t>
      </w:r>
      <w:r w:rsidR="00160984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_</w:t>
      </w: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2023 prevede che sia prelevata un’</w:t>
      </w:r>
      <w:r w:rsidR="004819F2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aliquota n. 5, “</w:t>
      </w:r>
      <w:r w:rsidR="004819F2" w:rsidRPr="00FA4C56">
        <w:rPr>
          <w:rFonts w:ascii="Open Sans" w:hAnsi="Open Sans" w:cs="Open Sans"/>
          <w:i/>
          <w:iCs/>
          <w:kern w:val="0"/>
          <w:sz w:val="21"/>
          <w:szCs w:val="21"/>
          <w14:ligatures w14:val="none"/>
        </w:rPr>
        <w:t xml:space="preserve">aliquota per l’operatore produttore (inteso come fabbricante, allevatore o come operatore che appone il proprio marchio, nome o segno distintivo) qualora si tratti di campionamento su alimenti </w:t>
      </w:r>
      <w:proofErr w:type="spellStart"/>
      <w:r w:rsidR="004819F2" w:rsidRPr="00FA4C56">
        <w:rPr>
          <w:rFonts w:ascii="Open Sans" w:hAnsi="Open Sans" w:cs="Open Sans"/>
          <w:i/>
          <w:iCs/>
          <w:kern w:val="0"/>
          <w:sz w:val="21"/>
          <w:szCs w:val="21"/>
          <w14:ligatures w14:val="none"/>
        </w:rPr>
        <w:t>preimballati</w:t>
      </w:r>
      <w:proofErr w:type="spellEnd"/>
      <w:r w:rsidR="004819F2" w:rsidRPr="00FA4C56">
        <w:rPr>
          <w:rFonts w:ascii="Open Sans" w:hAnsi="Open Sans" w:cs="Open Sans"/>
          <w:i/>
          <w:iCs/>
          <w:kern w:val="0"/>
          <w:sz w:val="21"/>
          <w:szCs w:val="21"/>
          <w14:ligatures w14:val="none"/>
        </w:rPr>
        <w:t xml:space="preserve"> (da intendersi preconfezionati) per il consumatore finale oppure di campionamento nell’ambito del Piano nazionale residui (PNR), da consegnare al primo laboratorio ufficiale</w:t>
      </w:r>
      <w:r w:rsidR="004819F2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”</w:t>
      </w:r>
      <w:r w:rsidR="009F7CCF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; l’indicazione, formulata in tal modo, </w:t>
      </w:r>
      <w:r w:rsidR="004819F2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sembrerebbe riguardare solo la rivendita di mangimi, ma è </w:t>
      </w:r>
      <w:r w:rsidR="006267B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opportuno</w:t>
      </w:r>
      <w:r w:rsidR="004819F2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considerarla </w:t>
      </w:r>
      <w:r w:rsidR="006267B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necessaria </w:t>
      </w:r>
      <w:r w:rsidR="004819F2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anche</w:t>
      </w:r>
      <w:r w:rsidR="006267B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per</w:t>
      </w:r>
      <w:r w:rsidR="004819F2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i mangimi sfusi campionati in allevamento perché spesso chi interviene </w:t>
      </w:r>
      <w:r w:rsidR="00E559B4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nell’eventuale </w:t>
      </w:r>
      <w:r w:rsidR="00617B2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fase di </w:t>
      </w:r>
      <w:r w:rsidR="004819F2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controperizia è il mangimificio produttore del mangime.</w:t>
      </w:r>
    </w:p>
    <w:p w14:paraId="0B599041" w14:textId="77777777" w:rsidR="006267BA" w:rsidRPr="00FA4C56" w:rsidRDefault="006267BA" w:rsidP="00FA4C56">
      <w:pPr>
        <w:suppressAutoHyphens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</w:p>
    <w:p w14:paraId="6D285831" w14:textId="25AF692D" w:rsidR="00227841" w:rsidRPr="00FA4C56" w:rsidRDefault="00227841" w:rsidP="00FA4C56">
      <w:pPr>
        <w:suppressAutoHyphens/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FA4C56">
        <w:rPr>
          <w:rFonts w:ascii="Open Sans" w:hAnsi="Open Sans" w:cs="Open Sans"/>
          <w:b/>
          <w:bCs/>
          <w:sz w:val="21"/>
          <w:szCs w:val="21"/>
        </w:rPr>
        <w:t>Conservazione aliquote campioni di mangime</w:t>
      </w:r>
    </w:p>
    <w:p w14:paraId="6CCB8031" w14:textId="33FC3274" w:rsidR="004819F2" w:rsidRPr="00FA4C56" w:rsidRDefault="001E5DE0" w:rsidP="00FA4C56">
      <w:pPr>
        <w:suppressAutoHyphens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Le diverse aliquote dei</w:t>
      </w:r>
      <w:r w:rsidR="004819F2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campioni di mangi</w:t>
      </w:r>
      <w:r w:rsidR="00B95F4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me</w:t>
      </w:r>
      <w:r w:rsidR="00E8213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, </w:t>
      </w: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conferite al laboratorio analisi,</w:t>
      </w:r>
      <w:r w:rsidR="004819F2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spesso sono conservat</w:t>
      </w:r>
      <w:r w:rsidR="005752B3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e</w:t>
      </w:r>
      <w:r w:rsidR="004819F2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a temperatura ambiente; è utile definire bene</w:t>
      </w:r>
      <w:r w:rsidR="005752B3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, quando questo è possibile, quando invece è meglio </w:t>
      </w:r>
      <w:r w:rsidR="009A1AB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mantenere l’aliquota a temperatura di congelazione</w:t>
      </w:r>
      <w:r w:rsidR="0085737B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/refrigerazione</w:t>
      </w:r>
      <w:r w:rsidR="009A1AB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e quale sia</w:t>
      </w:r>
      <w:r w:rsidR="004819F2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il set delle registrazioni per evitare carenze</w:t>
      </w:r>
      <w:r w:rsidR="00717A7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evidenziabili in fase di controperizia documentale</w:t>
      </w:r>
      <w:r w:rsidR="004819F2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.</w:t>
      </w:r>
    </w:p>
    <w:p w14:paraId="4D884321" w14:textId="77777777" w:rsidR="00F06DBA" w:rsidRPr="00FA4C56" w:rsidRDefault="00F06DBA" w:rsidP="00FA4C56">
      <w:pPr>
        <w:suppressAutoHyphens/>
        <w:spacing w:after="0" w:line="240" w:lineRule="auto"/>
        <w:rPr>
          <w:rFonts w:ascii="Open Sans" w:hAnsi="Open Sans" w:cs="Open Sans"/>
          <w:b/>
          <w:bCs/>
          <w:kern w:val="0"/>
          <w:sz w:val="21"/>
          <w:szCs w:val="21"/>
          <w14:ligatures w14:val="none"/>
        </w:rPr>
      </w:pPr>
    </w:p>
    <w:p w14:paraId="23AB1278" w14:textId="2E109747" w:rsidR="009F70CB" w:rsidRPr="00FA4C56" w:rsidRDefault="00372B4E" w:rsidP="00FA4C56">
      <w:pPr>
        <w:suppressAutoHyphens/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FA4C56">
        <w:rPr>
          <w:rFonts w:ascii="Open Sans" w:hAnsi="Open Sans" w:cs="Open Sans"/>
          <w:b/>
          <w:bCs/>
          <w:sz w:val="21"/>
          <w:szCs w:val="21"/>
        </w:rPr>
        <w:t>Sistema informativo</w:t>
      </w:r>
      <w:r w:rsidR="00417DE7" w:rsidRPr="00FA4C56">
        <w:rPr>
          <w:rFonts w:ascii="Open Sans" w:hAnsi="Open Sans" w:cs="Open Sans"/>
          <w:b/>
          <w:bCs/>
          <w:sz w:val="21"/>
          <w:szCs w:val="21"/>
        </w:rPr>
        <w:t xml:space="preserve"> del settore alimentazione animale</w:t>
      </w:r>
    </w:p>
    <w:p w14:paraId="4EF62765" w14:textId="07BB979D" w:rsidR="00372B4E" w:rsidRPr="00FA4C56" w:rsidRDefault="009F70CB" w:rsidP="00FA4C56">
      <w:pPr>
        <w:suppressAutoHyphens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L</w:t>
      </w:r>
      <w:r w:rsidR="00372B4E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a Regione Veneto ha esplicitato con una lettera </w:t>
      </w:r>
      <w:r w:rsidR="0052665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prot. n. 347530 </w:t>
      </w:r>
      <w:r w:rsidR="00347632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del 28/6/</w:t>
      </w:r>
      <w:r w:rsidR="00417DE7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2023 le</w:t>
      </w:r>
      <w:r w:rsidR="00372B4E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criticità riscontrabili nell’utilizzo del SINVSA e </w:t>
      </w: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del </w:t>
      </w:r>
      <w:r w:rsidR="00347632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portale </w:t>
      </w:r>
      <w:r w:rsidR="00372B4E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Ispezioni in V</w:t>
      </w:r>
      <w:r w:rsidR="00314C2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ETINFO</w:t>
      </w:r>
      <w:r w:rsidR="00347632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. </w:t>
      </w:r>
      <w:r w:rsidR="002A2B1B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La </w:t>
      </w:r>
      <w:r w:rsidR="00314C2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R</w:t>
      </w:r>
      <w:r w:rsidR="002A2B1B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egione Emilia-Romagna </w:t>
      </w:r>
      <w:r w:rsidR="005173A4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condivi</w:t>
      </w:r>
      <w:r w:rsidR="002A2B1B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de</w:t>
      </w:r>
      <w:r w:rsidR="005173A4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le </w:t>
      </w:r>
      <w:r w:rsidR="002A2B1B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indicazioni</w:t>
      </w:r>
      <w:r w:rsidR="005173A4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  <w:r w:rsidR="00314C2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per il</w:t>
      </w:r>
      <w:r w:rsidR="005173A4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miglioramento dei sistemi informativi</w:t>
      </w:r>
      <w:r w:rsidR="00E93A84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attualmente in uso.</w:t>
      </w:r>
    </w:p>
    <w:p w14:paraId="00AF795F" w14:textId="77777777" w:rsidR="00741DB5" w:rsidRPr="00FA4C56" w:rsidRDefault="00741DB5" w:rsidP="00FA4C56">
      <w:pPr>
        <w:suppressAutoHyphens/>
        <w:spacing w:after="0" w:line="240" w:lineRule="auto"/>
        <w:rPr>
          <w:rFonts w:ascii="Open Sans" w:hAnsi="Open Sans" w:cs="Open Sans"/>
          <w:b/>
          <w:bCs/>
          <w:kern w:val="0"/>
          <w:sz w:val="21"/>
          <w:szCs w:val="21"/>
          <w14:ligatures w14:val="none"/>
        </w:rPr>
      </w:pPr>
    </w:p>
    <w:p w14:paraId="741796B5" w14:textId="6FF2FE17" w:rsidR="007518A7" w:rsidRPr="00FA4C56" w:rsidRDefault="007518A7" w:rsidP="00FA4C56">
      <w:pPr>
        <w:suppressAutoHyphens/>
        <w:spacing w:after="0" w:line="240" w:lineRule="auto"/>
        <w:jc w:val="both"/>
        <w:rPr>
          <w:rFonts w:ascii="Open Sans" w:hAnsi="Open Sans" w:cs="Open Sans"/>
          <w:b/>
          <w:bCs/>
          <w:sz w:val="21"/>
          <w:szCs w:val="21"/>
        </w:rPr>
      </w:pPr>
      <w:r w:rsidRPr="00FA4C56">
        <w:rPr>
          <w:rFonts w:ascii="Open Sans" w:hAnsi="Open Sans" w:cs="Open Sans"/>
          <w:b/>
          <w:bCs/>
          <w:sz w:val="21"/>
          <w:szCs w:val="21"/>
        </w:rPr>
        <w:t>Campionamento</w:t>
      </w:r>
      <w:r w:rsidR="00FD3E0A" w:rsidRPr="00FA4C56"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="00AB2BC7" w:rsidRPr="00FA4C56">
        <w:rPr>
          <w:rFonts w:ascii="Open Sans" w:hAnsi="Open Sans" w:cs="Open Sans"/>
          <w:b/>
          <w:bCs/>
          <w:sz w:val="21"/>
          <w:szCs w:val="21"/>
        </w:rPr>
        <w:t>mangimi</w:t>
      </w:r>
    </w:p>
    <w:p w14:paraId="21302407" w14:textId="33679803" w:rsidR="00B303D3" w:rsidRPr="00FA4C56" w:rsidRDefault="00A763B0" w:rsidP="00FA4C56">
      <w:pPr>
        <w:suppressAutoHyphens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Si evidenzia che </w:t>
      </w:r>
      <w:r w:rsidR="001F3295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per </w:t>
      </w: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alcun</w:t>
      </w:r>
      <w:r w:rsidR="002F293F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i principi farmacologicamente attivi</w:t>
      </w: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  <w:r w:rsidR="001F3295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utilizzat</w:t>
      </w:r>
      <w:r w:rsidR="002F293F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i</w:t>
      </w:r>
      <w:r w:rsidR="001F3295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  <w:r w:rsidR="002F293F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nelle produzioni mangimistiche di mangimi medicati </w:t>
      </w:r>
      <w:r w:rsidR="000364BE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non è disponibile la prova di laboratorio accreditata</w:t>
      </w:r>
      <w:r w:rsidR="00A71A9B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(</w:t>
      </w:r>
      <w:r w:rsidR="000364BE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esempi: </w:t>
      </w:r>
      <w:r w:rsidR="00A71A9B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gentamicina</w:t>
      </w:r>
      <w:r w:rsidR="0085737B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ed </w:t>
      </w:r>
      <w:proofErr w:type="spellStart"/>
      <w:r w:rsidR="0085737B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aminoglicosidi</w:t>
      </w:r>
      <w:proofErr w:type="spellEnd"/>
      <w:r w:rsidR="0085737B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in generale</w:t>
      </w:r>
      <w:r w:rsidR="00A71A9B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, </w:t>
      </w:r>
      <w:proofErr w:type="spellStart"/>
      <w:r w:rsidR="00A71A9B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flubendazolo</w:t>
      </w:r>
      <w:proofErr w:type="spellEnd"/>
      <w:r w:rsidR="00A71A9B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); </w:t>
      </w:r>
      <w:r w:rsidR="00C07FC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è necessario che tale carenza sia colmata per </w:t>
      </w:r>
      <w:r w:rsidR="00A71A9B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evitare</w:t>
      </w:r>
      <w:r w:rsidR="00B303D3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lacune nell’ambito dei controlli.</w:t>
      </w:r>
      <w:r w:rsidR="00B27518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  <w:r w:rsidR="002B69EF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È</w:t>
      </w:r>
      <w:r w:rsidR="00B27518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possibile percorrere </w:t>
      </w:r>
      <w:r w:rsidR="002B69EF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eventualmente </w:t>
      </w:r>
      <w:r w:rsidR="00B27518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anche la strada </w:t>
      </w:r>
      <w:r w:rsidR="002B69EF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indicata</w:t>
      </w:r>
      <w:r w:rsidR="00B27518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dal Regolamento delegato (UE) 2021/1353 per </w:t>
      </w:r>
      <w:r w:rsidR="001E3C21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cui è</w:t>
      </w:r>
      <w:r w:rsidR="00B27518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consentita da parte dell’AC centrale designare del laboratori</w:t>
      </w:r>
      <w:r w:rsidR="00FA4C56">
        <w:rPr>
          <w:rFonts w:ascii="Open Sans" w:hAnsi="Open Sans" w:cs="Open Sans"/>
          <w:kern w:val="0"/>
          <w:sz w:val="21"/>
          <w:szCs w:val="21"/>
          <w14:ligatures w14:val="none"/>
        </w:rPr>
        <w:t>o</w:t>
      </w:r>
      <w:r w:rsidR="00B27518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in deroga all’accreditamento delle prove.</w:t>
      </w:r>
    </w:p>
    <w:p w14:paraId="240FDBD9" w14:textId="77777777" w:rsidR="00FA4C56" w:rsidRDefault="00FA4C56" w:rsidP="00FA4C56">
      <w:pPr>
        <w:suppressAutoHyphens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</w:p>
    <w:p w14:paraId="7D8FE008" w14:textId="283F6B9B" w:rsidR="00A71A9B" w:rsidRPr="00FA4C56" w:rsidRDefault="001F2273" w:rsidP="00FA4C56">
      <w:pPr>
        <w:suppressAutoHyphens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Si ritiene utile puntualizzare che </w:t>
      </w:r>
      <w:r w:rsidR="00A71A9B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richieste di valutazione del titolo </w:t>
      </w: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(finalità 1) </w:t>
      </w:r>
      <w:r w:rsidR="00A71A9B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su prelievi eseguiti in mangiatoia </w:t>
      </w:r>
      <w:r w:rsidR="00F270D7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o da silos in allevamento</w:t>
      </w:r>
      <w:r w:rsidR="00714DC4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,</w:t>
      </w:r>
      <w:r w:rsidR="00F270D7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  <w:r w:rsidR="00A71A9B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se non si è certi </w:t>
      </w:r>
      <w:r w:rsidR="00F270D7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della </w:t>
      </w:r>
      <w:r w:rsidR="00280B0D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preventiva</w:t>
      </w:r>
      <w:r w:rsidR="00F270D7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accurata pulizia</w:t>
      </w:r>
      <w:r w:rsidR="003928F8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dei contenitori</w:t>
      </w:r>
      <w:r w:rsidR="00714DC4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,</w:t>
      </w:r>
      <w:r w:rsidR="003928F8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  <w:r w:rsidR="005676C0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pulizia </w:t>
      </w:r>
      <w:r w:rsidR="003928F8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formalizzata nel verbale di campionamento e sottoscritta dall’OSM </w:t>
      </w:r>
      <w:r w:rsidR="0044126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interessato, può</w:t>
      </w:r>
      <w:r w:rsidR="00280B0D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presentare </w:t>
      </w:r>
      <w:r w:rsidR="003928F8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problemi di interpretazione </w:t>
      </w:r>
      <w:r w:rsidR="005676C0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nel caso </w:t>
      </w:r>
      <w:r w:rsidR="003928F8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di un eventuale risultato non conforme.</w:t>
      </w:r>
    </w:p>
    <w:p w14:paraId="49D416FA" w14:textId="0F71D2B3" w:rsidR="00441266" w:rsidRPr="00FA4C56" w:rsidRDefault="00A801ED" w:rsidP="00FA4C56">
      <w:pPr>
        <w:suppressAutoHyphens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lastRenderedPageBreak/>
        <w:t xml:space="preserve">Nel verbale di campionamento è obbligatorio riportare la data di scadenza del mangime ma quando si </w:t>
      </w:r>
      <w:r w:rsidR="006C4CDC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eseguono </w:t>
      </w: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prelievi su </w:t>
      </w:r>
      <w:proofErr w:type="spellStart"/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unifeed</w:t>
      </w:r>
      <w:proofErr w:type="spellEnd"/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, non sempre </w:t>
      </w:r>
      <w:r w:rsidR="006C4CDC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l’</w:t>
      </w: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allevatore è in grado di fornire un</w:t>
      </w:r>
      <w:r w:rsidR="006C4CDC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a data</w:t>
      </w:r>
      <w:r w:rsidR="00CE29A0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di scadenza del prodotto</w:t>
      </w: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. Potrebbe essere utile stabilire un valore pre</w:t>
      </w:r>
      <w:r w:rsidR="0044126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definito per questo tipo </w:t>
      </w:r>
      <w:r w:rsidR="0052407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di matrice prelevata</w:t>
      </w:r>
      <w:r w:rsidR="0044126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in allevamento.</w:t>
      </w: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</w:p>
    <w:p w14:paraId="69ABDF97" w14:textId="77777777" w:rsidR="00441266" w:rsidRPr="00FA4C56" w:rsidRDefault="00441266" w:rsidP="00FA4C56">
      <w:pPr>
        <w:suppressAutoHyphens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</w:p>
    <w:p w14:paraId="2AE2DBE9" w14:textId="102D8494" w:rsidR="00A801ED" w:rsidRPr="00FA4C56" w:rsidRDefault="000B3738" w:rsidP="00FA4C56">
      <w:pPr>
        <w:suppressAutoHyphens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Nell’ambito dell’utilizzo d</w:t>
      </w:r>
      <w:r w:rsidR="0052407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e</w:t>
      </w: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i </w:t>
      </w:r>
      <w:proofErr w:type="spellStart"/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quartatori</w:t>
      </w:r>
      <w:proofErr w:type="spellEnd"/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  <w:r w:rsidR="008873F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reperibili </w:t>
      </w:r>
      <w:r w:rsidR="00A801ED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in commercio</w:t>
      </w:r>
      <w:r w:rsidR="00515E1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e,</w:t>
      </w:r>
      <w:r w:rsidR="00CA026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  <w:r w:rsidR="008873F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come riportato nel PNAA</w:t>
      </w:r>
      <w:r w:rsidR="00B40F8C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,</w:t>
      </w:r>
      <w:r w:rsidR="008873F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  <w:r w:rsidR="00B40F8C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considerati </w:t>
      </w:r>
      <w:r w:rsidR="00CA026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indispensabili</w:t>
      </w:r>
      <w:r w:rsidR="008873F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per</w:t>
      </w:r>
      <w:r w:rsidR="00B40F8C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eseguire</w:t>
      </w:r>
      <w:r w:rsidR="008873F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il </w:t>
      </w:r>
      <w:r w:rsidR="00CA026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campionamento di matrici in cui si intendono ricercare analiti non distribuiti in modo uniforme, possono essere utilizz</w:t>
      </w:r>
      <w:r w:rsidR="00B40F8C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a</w:t>
      </w:r>
      <w:r w:rsidR="00CA026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t</w:t>
      </w:r>
      <w:r w:rsidR="00B40F8C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e</w:t>
      </w:r>
      <w:r w:rsidR="00CA026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  <w:r w:rsidR="008518E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dalle ACL </w:t>
      </w:r>
      <w:r w:rsidR="00CA026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anche strumentazioni</w:t>
      </w:r>
      <w:r w:rsidR="00A07875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,</w:t>
      </w:r>
      <w:r w:rsidR="00CA026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  <w:r w:rsidR="00B40F8C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idonee allo scopo</w:t>
      </w:r>
      <w:r w:rsidR="00515E1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,</w:t>
      </w:r>
      <w:r w:rsidR="00B40F8C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  <w:r w:rsidR="00A07875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ma </w:t>
      </w:r>
      <w:r w:rsidR="00CA026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non </w:t>
      </w:r>
      <w:r w:rsidR="00AF00B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formalmente </w:t>
      </w:r>
      <w:r w:rsidR="00CA026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omologate</w:t>
      </w:r>
      <w:r w:rsidR="00B0746E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; i</w:t>
      </w:r>
      <w:r w:rsidR="00A37510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n merito potrebbe essere utile un elenco della strumentazione di base considerata </w:t>
      </w:r>
      <w:r w:rsidR="00B0746E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la </w:t>
      </w:r>
      <w:r w:rsidR="005F3ED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dotazione indispensabile per l’esecuzione di campio</w:t>
      </w:r>
      <w:r w:rsidR="0069106C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namenti ufficiali in ambito alimentazione animale.</w:t>
      </w:r>
      <w:r w:rsidR="005F3ED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</w:p>
    <w:p w14:paraId="6AB0CE20" w14:textId="77777777" w:rsidR="00AA5F2A" w:rsidRPr="00FA4C56" w:rsidRDefault="00AA5F2A" w:rsidP="00FA4C56">
      <w:pPr>
        <w:suppressAutoHyphens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</w:p>
    <w:p w14:paraId="2D4A1C0A" w14:textId="764B76A7" w:rsidR="00F83732" w:rsidRPr="00FA4C56" w:rsidRDefault="009B24D0" w:rsidP="00FA4C56">
      <w:pPr>
        <w:suppressAutoHyphens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Per alcune</w:t>
      </w:r>
      <w:r w:rsidR="00AA5F2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matrici</w:t>
      </w:r>
      <w:r w:rsidR="00D6425B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, al fine di ottenere dei risultati analitici ripetibili,</w:t>
      </w: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  <w:r w:rsidR="00F0784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potrebbe essere</w:t>
      </w: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necessaria </w:t>
      </w:r>
      <w:r w:rsidR="00F0784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la macinazione e l’omogeneizzazione</w:t>
      </w:r>
      <w:r w:rsidR="00AA5F2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  <w:r w:rsidR="00F0784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(</w:t>
      </w:r>
      <w:r w:rsidR="00AA5F2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esempio</w:t>
      </w:r>
      <w:r w:rsidR="0041744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:</w:t>
      </w:r>
      <w:r w:rsidR="00AA5F2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  <w:r w:rsidR="00EA7E45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la ricerca di aflatossina B1 nell’</w:t>
      </w:r>
      <w:proofErr w:type="spellStart"/>
      <w:r w:rsidR="00AA5F2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unifeed</w:t>
      </w:r>
      <w:proofErr w:type="spellEnd"/>
      <w:r w:rsidR="00F0784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)</w:t>
      </w:r>
      <w:r w:rsidR="00EA7E45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.</w:t>
      </w:r>
      <w:r w:rsidR="00AA5F2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  <w:r w:rsidR="00DA27E1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N</w:t>
      </w:r>
      <w:r w:rsidR="00AA5F2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el </w:t>
      </w:r>
      <w:r w:rsidR="00DA27E1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futuro </w:t>
      </w:r>
      <w:r w:rsidR="00AA5F2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piano</w:t>
      </w:r>
      <w:r w:rsidR="00DA27E1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triennale</w:t>
      </w:r>
      <w:r w:rsidR="00AA5F2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  <w:r w:rsidR="00DA27E1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sarebbe opportuno</w:t>
      </w:r>
      <w:r w:rsidR="00AA5F2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dettaglia</w:t>
      </w:r>
      <w:r w:rsidR="00DA27E1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re le casistiche</w:t>
      </w:r>
      <w:r w:rsidR="00AA5F2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. </w:t>
      </w:r>
    </w:p>
    <w:p w14:paraId="5C9512E9" w14:textId="77777777" w:rsidR="00554030" w:rsidRPr="00FA4C56" w:rsidRDefault="00554030" w:rsidP="00FA4C56">
      <w:pPr>
        <w:suppressAutoHyphens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</w:p>
    <w:p w14:paraId="43B25102" w14:textId="7ACDAACE" w:rsidR="00554030" w:rsidRPr="00FA4C56" w:rsidRDefault="00554030" w:rsidP="00FA4C56">
      <w:pPr>
        <w:suppressAutoHyphens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In questi ultimi anni si è assistito ad una forte contrazione del numero dei produttori di mangi</w:t>
      </w:r>
      <w:r w:rsidR="00B8617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mi medicati (sia per autoconsumo sia per conto terzi); nella </w:t>
      </w:r>
      <w:r w:rsidR="00313C54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distribuzione dei campioni per la definizione del </w:t>
      </w:r>
      <w:proofErr w:type="spellStart"/>
      <w:r w:rsidR="00313C54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carry</w:t>
      </w:r>
      <w:proofErr w:type="spellEnd"/>
      <w:r w:rsidR="00313C54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over (finalità </w:t>
      </w:r>
      <w:r w:rsidR="0027326F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4</w:t>
      </w:r>
      <w:r w:rsidR="00313C54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) </w:t>
      </w:r>
      <w:r w:rsidR="004D509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è opportuno che si tenga conto di tale diminuzione. </w:t>
      </w:r>
      <w:r w:rsidR="00452A7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Le difficoltà in fase di campionamento determinano un sempre maggior numero di campionamenti eseguiti su mangimi medicati</w:t>
      </w:r>
      <w:r w:rsidR="00AE5B6C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prodotti in sequenza</w:t>
      </w:r>
      <w:r w:rsidR="00CB5B6F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oppure su </w:t>
      </w:r>
      <w:r w:rsidR="001B5E87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mangimi con</w:t>
      </w:r>
      <w:r w:rsidR="00CB5B6F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  <w:proofErr w:type="spellStart"/>
      <w:r w:rsidR="00CB5B6F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coccidiostatici</w:t>
      </w:r>
      <w:proofErr w:type="spellEnd"/>
      <w:r w:rsidR="00CB5B6F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.</w:t>
      </w:r>
    </w:p>
    <w:p w14:paraId="2D2A0BE6" w14:textId="77777777" w:rsidR="000B0E91" w:rsidRPr="00FA4C56" w:rsidRDefault="000B0E91" w:rsidP="00FA4C56">
      <w:pPr>
        <w:suppressAutoHyphens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</w:p>
    <w:p w14:paraId="31A5BBB7" w14:textId="5D6DEC40" w:rsidR="000B0E91" w:rsidRPr="00FA4C56" w:rsidRDefault="000B0E91" w:rsidP="00FA4C56">
      <w:pPr>
        <w:suppressAutoHyphens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Può essere opportuno </w:t>
      </w:r>
      <w:r w:rsidR="00562C94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affermare chiaramente nel </w:t>
      </w:r>
      <w:r w:rsidR="00164D6D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nuovo </w:t>
      </w:r>
      <w:r w:rsidR="00562C94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piano </w:t>
      </w:r>
      <w:r w:rsidR="0074547F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triennale </w:t>
      </w:r>
      <w:r w:rsidR="00562C94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che il prelievo di un numero di campioni elementari </w:t>
      </w:r>
      <w:r w:rsidR="006931FD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maggiore a quanto stabilito nell’allegato </w:t>
      </w:r>
      <w:proofErr w:type="gramStart"/>
      <w:r w:rsidR="00946475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8</w:t>
      </w:r>
      <w:proofErr w:type="gramEnd"/>
      <w:r w:rsidR="006931FD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non inficia il campionamento ma</w:t>
      </w:r>
      <w:r w:rsidR="00164D6D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, al contrario,</w:t>
      </w:r>
      <w:r w:rsidR="006931FD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lo rende più rappresentativo </w:t>
      </w:r>
      <w:r w:rsidR="00946475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della massa campiona</w:t>
      </w:r>
      <w:r w:rsidR="00164D6D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ta</w:t>
      </w:r>
      <w:r w:rsidR="00AC344E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.</w:t>
      </w:r>
      <w:r w:rsidR="00656F0C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Questa puntualizzazione si rende necessaria poiché</w:t>
      </w:r>
      <w:r w:rsidR="009413FE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, l’assenza di precisazioni,</w:t>
      </w:r>
      <w:r w:rsidR="00656F0C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  <w:r w:rsidR="009413FE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può dar luogo ad</w:t>
      </w:r>
      <w:r w:rsidR="00656F0C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interpretazioni</w:t>
      </w:r>
      <w:r w:rsidR="009413FE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  <w:r w:rsidR="00C6257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differenti.</w:t>
      </w:r>
    </w:p>
    <w:p w14:paraId="3A4A85EC" w14:textId="77777777" w:rsidR="00F83732" w:rsidRPr="00FA4C56" w:rsidRDefault="00F83732" w:rsidP="00FA4C56">
      <w:pPr>
        <w:suppressAutoHyphens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</w:p>
    <w:p w14:paraId="626327BE" w14:textId="77777777" w:rsidR="00FF370E" w:rsidRPr="00FA4C56" w:rsidRDefault="00FF370E" w:rsidP="00FA4C56">
      <w:pPr>
        <w:suppressAutoHyphens/>
        <w:spacing w:after="0" w:line="240" w:lineRule="auto"/>
        <w:jc w:val="both"/>
        <w:rPr>
          <w:rFonts w:ascii="Open Sans" w:hAnsi="Open Sans" w:cs="Open Sans"/>
          <w:b/>
          <w:bCs/>
          <w:sz w:val="21"/>
          <w:szCs w:val="21"/>
        </w:rPr>
      </w:pPr>
      <w:r w:rsidRPr="00FA4C56">
        <w:rPr>
          <w:rFonts w:ascii="Open Sans" w:hAnsi="Open Sans" w:cs="Open Sans"/>
          <w:b/>
          <w:bCs/>
          <w:sz w:val="21"/>
          <w:szCs w:val="21"/>
        </w:rPr>
        <w:t>Ispezioni</w:t>
      </w:r>
    </w:p>
    <w:p w14:paraId="1C199E0C" w14:textId="785F7B76" w:rsidR="00AA5F2A" w:rsidRPr="00FA4C56" w:rsidRDefault="00FF370E" w:rsidP="00FA4C56">
      <w:pPr>
        <w:suppressAutoHyphens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Alcuni operatori del settore </w:t>
      </w:r>
      <w:r w:rsidR="00E6604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(esempio: depositi di granaglie) </w:t>
      </w:r>
      <w:r w:rsidR="00C6130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operano siano a livello di produzione per il consumo umano che per l’alimentazione </w:t>
      </w:r>
      <w:r w:rsidR="00C6257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degli </w:t>
      </w:r>
      <w:r w:rsidR="00C6130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animal</w:t>
      </w:r>
      <w:r w:rsidR="00C6257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i</w:t>
      </w:r>
      <w:r w:rsidR="006070F4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. </w:t>
      </w:r>
      <w:r w:rsidR="002C739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Essi sono </w:t>
      </w:r>
      <w:r w:rsidR="007A63D2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sottoposti a </w:t>
      </w:r>
      <w:r w:rsidR="00B01108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controll</w:t>
      </w:r>
      <w:r w:rsidR="007A63D2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o </w:t>
      </w:r>
      <w:r w:rsidR="00B01108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da</w:t>
      </w:r>
      <w:r w:rsidR="007A63D2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  <w:r w:rsidR="007D54F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sia da </w:t>
      </w:r>
      <w:r w:rsidR="00E6604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operatori</w:t>
      </w:r>
      <w:r w:rsidR="00B01108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SIAN</w:t>
      </w:r>
      <w:r w:rsidR="00E6604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  <w:r w:rsidR="007D54F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ch</w:t>
      </w:r>
      <w:r w:rsidR="00E6604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e operatori SVET</w:t>
      </w:r>
      <w:r w:rsidR="007D54F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, ognuno per le specifiche competenze</w:t>
      </w:r>
      <w:r w:rsidR="00DD767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. </w:t>
      </w:r>
      <w:r w:rsidR="00B01108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</w:t>
      </w:r>
      <w:r w:rsidR="008E0048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È</w:t>
      </w:r>
      <w:r w:rsidR="00DD767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auspicabile che questi controlli siano organizzati in modo </w:t>
      </w:r>
      <w:r w:rsidR="002E24B9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congiunto per</w:t>
      </w:r>
      <w:r w:rsidR="008F6002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evitare di </w:t>
      </w:r>
      <w:r w:rsidR="00B01108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fornire indicazioni</w:t>
      </w:r>
      <w:r w:rsidR="00AA5F2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non convergenti</w:t>
      </w:r>
      <w:r w:rsidR="00B01108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a</w:t>
      </w:r>
      <w:r w:rsidR="00DC421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gli operatori</w:t>
      </w:r>
      <w:r w:rsidR="00B01108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. </w:t>
      </w:r>
    </w:p>
    <w:p w14:paraId="51482A35" w14:textId="77777777" w:rsidR="00365A7A" w:rsidRPr="00FA4C56" w:rsidRDefault="00365A7A" w:rsidP="00FA4C56">
      <w:pPr>
        <w:suppressAutoHyphens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</w:p>
    <w:p w14:paraId="788D4AD1" w14:textId="73E0CA85" w:rsidR="00365A7A" w:rsidRPr="00FA4C56" w:rsidRDefault="00365A7A" w:rsidP="00FA4C56">
      <w:pPr>
        <w:suppressAutoHyphens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Nell’ambito della categorizzazione del rischio sarebbe utile </w:t>
      </w:r>
      <w:r w:rsidR="0076259E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migliorare </w:t>
      </w:r>
      <w:r w:rsidR="00CC275B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gli</w:t>
      </w:r>
      <w:r w:rsidR="0076259E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strument</w:t>
      </w:r>
      <w:r w:rsidR="00CC275B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i</w:t>
      </w:r>
      <w:r w:rsidR="0076259E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dell’allegato 9</w:t>
      </w:r>
      <w:r w:rsidR="00A127D4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,</w:t>
      </w:r>
      <w:r w:rsidR="0076259E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9 bis</w:t>
      </w:r>
      <w:r w:rsidR="00A127D4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e foglio di calcolo</w:t>
      </w:r>
      <w:r w:rsidR="0065400F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,</w:t>
      </w:r>
      <w:r w:rsidR="0076259E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per renderl</w:t>
      </w:r>
      <w:r w:rsidR="0065400F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i</w:t>
      </w:r>
      <w:r w:rsidR="0076259E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più </w:t>
      </w:r>
      <w:r w:rsidR="00DC421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aderenti e specifici</w:t>
      </w:r>
      <w:r w:rsidR="00333AF8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a</w:t>
      </w:r>
      <w:r w:rsidR="00201025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lle varie tipologie </w:t>
      </w:r>
      <w:r w:rsidR="00DC421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produttive </w:t>
      </w:r>
      <w:r w:rsidR="00201025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d</w:t>
      </w:r>
      <w:r w:rsidR="00EE2EF0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egli</w:t>
      </w:r>
      <w:r w:rsidR="00333AF8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OSM</w:t>
      </w:r>
    </w:p>
    <w:p w14:paraId="28940340" w14:textId="77777777" w:rsidR="008E0048" w:rsidRPr="00FA4C56" w:rsidRDefault="008E0048" w:rsidP="00FA4C56">
      <w:pPr>
        <w:suppressAutoHyphens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</w:p>
    <w:p w14:paraId="550F40B5" w14:textId="43C92924" w:rsidR="003C4DE4" w:rsidRPr="00FA4C56" w:rsidRDefault="003C4DE4" w:rsidP="00FA4C56">
      <w:pPr>
        <w:suppressAutoHyphens/>
        <w:spacing w:after="0" w:line="240" w:lineRule="auto"/>
        <w:jc w:val="both"/>
        <w:rPr>
          <w:rFonts w:ascii="Open Sans" w:hAnsi="Open Sans" w:cs="Open Sans"/>
          <w:b/>
          <w:bCs/>
          <w:sz w:val="21"/>
          <w:szCs w:val="21"/>
        </w:rPr>
      </w:pPr>
      <w:r w:rsidRPr="00FA4C56">
        <w:rPr>
          <w:rFonts w:ascii="Open Sans" w:hAnsi="Open Sans" w:cs="Open Sans"/>
          <w:b/>
          <w:bCs/>
          <w:sz w:val="21"/>
          <w:szCs w:val="21"/>
        </w:rPr>
        <w:t>Formazione</w:t>
      </w:r>
    </w:p>
    <w:p w14:paraId="325CB374" w14:textId="4A543D81" w:rsidR="003C4DE4" w:rsidRPr="00FA4C56" w:rsidRDefault="00E218D1" w:rsidP="00FA4C56">
      <w:pPr>
        <w:suppressAutoHyphens/>
        <w:spacing w:after="0" w:line="240" w:lineRule="auto"/>
        <w:jc w:val="both"/>
        <w:rPr>
          <w:rFonts w:ascii="Open Sans" w:hAnsi="Open Sans" w:cs="Open Sans"/>
          <w:kern w:val="0"/>
          <w:sz w:val="21"/>
          <w:szCs w:val="21"/>
          <w14:ligatures w14:val="none"/>
        </w:rPr>
      </w:pP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In questa fase di notevole tur</w:t>
      </w:r>
      <w:r w:rsidR="006F51F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n over del personale</w:t>
      </w:r>
      <w:r w:rsidR="00EE2EF0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delle ACL</w:t>
      </w:r>
      <w:r w:rsidR="006F51F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, s</w:t>
      </w:r>
      <w:r w:rsidR="003C4DE4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arebbe utile che il Ministero </w:t>
      </w:r>
      <w:r w:rsidR="00EF631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affiancasse l</w:t>
      </w:r>
      <w:r w:rsidR="003D7B62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e </w:t>
      </w:r>
      <w:r w:rsidR="00EF631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attività di formazione </w:t>
      </w:r>
      <w:r w:rsidR="003D7B62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organizzate da regioni</w:t>
      </w:r>
      <w:r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,</w:t>
      </w:r>
      <w:r w:rsidR="003D7B62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AUSL </w:t>
      </w:r>
      <w:r w:rsidR="005B7324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e laboratori</w:t>
      </w:r>
      <w:r w:rsidR="00EE2EF0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,</w:t>
      </w:r>
      <w:r w:rsidR="005B7324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promuovendo </w:t>
      </w:r>
      <w:r w:rsidR="006F51F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anche </w:t>
      </w:r>
      <w:r w:rsidR="005B7324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corsi a ricaduta </w:t>
      </w:r>
      <w:r w:rsidR="00B27877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tipo BTSF</w:t>
      </w:r>
      <w:r w:rsidR="00380A1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,</w:t>
      </w:r>
      <w:r w:rsidR="00B27877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o con i medesimi contenuti</w:t>
      </w:r>
      <w:r w:rsidR="00380A16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>,</w:t>
      </w:r>
      <w:r w:rsidR="00F06DBA" w:rsidRPr="00FA4C56">
        <w:rPr>
          <w:rFonts w:ascii="Open Sans" w:hAnsi="Open Sans" w:cs="Open Sans"/>
          <w:kern w:val="0"/>
          <w:sz w:val="21"/>
          <w:szCs w:val="21"/>
          <w14:ligatures w14:val="none"/>
        </w:rPr>
        <w:t xml:space="preserve"> da frequentare da remoto o anche in presenza.</w:t>
      </w:r>
    </w:p>
    <w:p w14:paraId="231DB538" w14:textId="77777777" w:rsidR="007C0DE5" w:rsidRDefault="007C0DE5" w:rsidP="00FA4C56">
      <w:pPr>
        <w:suppressAutoHyphens/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56656A29" w14:textId="77777777" w:rsidR="00FA4C56" w:rsidRDefault="00FA4C56" w:rsidP="00FA4C56">
      <w:pPr>
        <w:suppressAutoHyphens/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0E94133D" w14:textId="77777777" w:rsidR="00FA4C56" w:rsidRDefault="00FA4C56" w:rsidP="00FA4C56">
      <w:pPr>
        <w:suppressAutoHyphens/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21FAE44A" w14:textId="77777777" w:rsidR="00FA4C56" w:rsidRPr="00FA4C56" w:rsidRDefault="00FA4C56" w:rsidP="00FA4C56">
      <w:pPr>
        <w:suppressAutoHyphens/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747283EA" w14:textId="04C1B1B3" w:rsidR="00CA52BF" w:rsidRPr="00FA4C56" w:rsidRDefault="00CA52BF" w:rsidP="00FA4C56">
      <w:pPr>
        <w:suppressAutoHyphens/>
        <w:spacing w:after="0" w:line="240" w:lineRule="auto"/>
        <w:rPr>
          <w:rFonts w:ascii="Open Sans" w:hAnsi="Open Sans" w:cs="Open Sans"/>
          <w:sz w:val="18"/>
          <w:szCs w:val="18"/>
        </w:rPr>
      </w:pPr>
      <w:r w:rsidRPr="00FA4C56">
        <w:rPr>
          <w:rFonts w:ascii="Open Sans" w:hAnsi="Open Sans" w:cs="Open Sans"/>
          <w:sz w:val="18"/>
          <w:szCs w:val="18"/>
        </w:rPr>
        <w:t>Referente:</w:t>
      </w:r>
    </w:p>
    <w:p w14:paraId="7F8E1F0E" w14:textId="77777777" w:rsidR="00504677" w:rsidRPr="00FA4C56" w:rsidRDefault="00CA52BF" w:rsidP="00FA4C56">
      <w:pPr>
        <w:suppressAutoHyphens/>
        <w:spacing w:after="0" w:line="240" w:lineRule="auto"/>
        <w:rPr>
          <w:rFonts w:ascii="Open Sans" w:hAnsi="Open Sans" w:cs="Open Sans"/>
          <w:sz w:val="18"/>
          <w:szCs w:val="18"/>
        </w:rPr>
      </w:pPr>
      <w:r w:rsidRPr="00FA4C56">
        <w:rPr>
          <w:rFonts w:ascii="Open Sans" w:hAnsi="Open Sans" w:cs="Open Sans"/>
          <w:sz w:val="18"/>
          <w:szCs w:val="18"/>
        </w:rPr>
        <w:t>Bruno Giacometti</w:t>
      </w:r>
    </w:p>
    <w:p w14:paraId="4FC22B98" w14:textId="4614AC4A" w:rsidR="00CA52BF" w:rsidRPr="00FA4C56" w:rsidRDefault="00FA4C56" w:rsidP="00FA4C56">
      <w:pPr>
        <w:suppressAutoHyphens/>
        <w:spacing w:after="0" w:line="240" w:lineRule="auto"/>
        <w:rPr>
          <w:rFonts w:ascii="Open Sans" w:hAnsi="Open Sans" w:cs="Open Sans"/>
          <w:sz w:val="18"/>
          <w:szCs w:val="18"/>
        </w:rPr>
      </w:pPr>
      <w:hyperlink r:id="rId10" w:history="1">
        <w:r w:rsidRPr="00FA4C56">
          <w:rPr>
            <w:rStyle w:val="Collegamentoipertestuale"/>
            <w:rFonts w:ascii="Open Sans" w:hAnsi="Open Sans" w:cs="Open Sans"/>
            <w:sz w:val="18"/>
            <w:szCs w:val="18"/>
          </w:rPr>
          <w:t>bruno.giacometti@regione.emilia.romagna.it</w:t>
        </w:r>
      </w:hyperlink>
      <w:r w:rsidRPr="00FA4C56">
        <w:rPr>
          <w:rFonts w:ascii="Open Sans" w:hAnsi="Open Sans" w:cs="Open Sans"/>
          <w:sz w:val="18"/>
          <w:szCs w:val="18"/>
        </w:rPr>
        <w:t xml:space="preserve"> </w:t>
      </w:r>
    </w:p>
    <w:p w14:paraId="5F311252" w14:textId="1F3AF5C8" w:rsidR="00504677" w:rsidRPr="00FA4C56" w:rsidRDefault="00504677" w:rsidP="00FA4C56">
      <w:pPr>
        <w:suppressAutoHyphens/>
        <w:spacing w:after="0" w:line="240" w:lineRule="auto"/>
        <w:rPr>
          <w:rFonts w:ascii="Open Sans" w:hAnsi="Open Sans" w:cs="Open Sans"/>
          <w:sz w:val="18"/>
          <w:szCs w:val="18"/>
        </w:rPr>
      </w:pPr>
      <w:r w:rsidRPr="00FA4C56">
        <w:rPr>
          <w:rFonts w:ascii="Open Sans" w:hAnsi="Open Sans" w:cs="Open Sans"/>
          <w:sz w:val="18"/>
          <w:szCs w:val="18"/>
        </w:rPr>
        <w:t xml:space="preserve">tel. uff. </w:t>
      </w:r>
      <w:r w:rsidR="00283996" w:rsidRPr="00FA4C56">
        <w:rPr>
          <w:rFonts w:ascii="Open Sans" w:hAnsi="Open Sans" w:cs="Open Sans"/>
          <w:sz w:val="18"/>
          <w:szCs w:val="18"/>
        </w:rPr>
        <w:t>052.5277376</w:t>
      </w:r>
    </w:p>
    <w:p w14:paraId="26CCDCF2" w14:textId="7072434A" w:rsidR="00283996" w:rsidRPr="00FA4C56" w:rsidRDefault="00283996" w:rsidP="00FA4C56">
      <w:pPr>
        <w:suppressAutoHyphens/>
        <w:spacing w:after="0" w:line="240" w:lineRule="auto"/>
        <w:rPr>
          <w:rFonts w:ascii="Open Sans" w:hAnsi="Open Sans" w:cs="Open Sans"/>
          <w:sz w:val="18"/>
          <w:szCs w:val="18"/>
        </w:rPr>
      </w:pPr>
      <w:r w:rsidRPr="00FA4C56">
        <w:rPr>
          <w:rFonts w:ascii="Open Sans" w:hAnsi="Open Sans" w:cs="Open Sans"/>
          <w:sz w:val="18"/>
          <w:szCs w:val="18"/>
        </w:rPr>
        <w:t xml:space="preserve">tel. </w:t>
      </w:r>
      <w:proofErr w:type="spellStart"/>
      <w:r w:rsidRPr="00FA4C56">
        <w:rPr>
          <w:rFonts w:ascii="Open Sans" w:hAnsi="Open Sans" w:cs="Open Sans"/>
          <w:sz w:val="18"/>
          <w:szCs w:val="18"/>
        </w:rPr>
        <w:t>cell</w:t>
      </w:r>
      <w:proofErr w:type="spellEnd"/>
      <w:r w:rsidRPr="00FA4C56">
        <w:rPr>
          <w:rFonts w:ascii="Open Sans" w:hAnsi="Open Sans" w:cs="Open Sans"/>
          <w:sz w:val="18"/>
          <w:szCs w:val="18"/>
        </w:rPr>
        <w:t>. 331.7578219</w:t>
      </w:r>
    </w:p>
    <w:sectPr w:rsidR="00283996" w:rsidRPr="00FA4C56" w:rsidSect="00FA4C56">
      <w:footerReference w:type="default" r:id="rId11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F0A7" w14:textId="77777777" w:rsidR="00EB1B24" w:rsidRDefault="00EB1B24" w:rsidP="00193F57">
      <w:pPr>
        <w:spacing w:after="0" w:line="240" w:lineRule="auto"/>
      </w:pPr>
      <w:r>
        <w:separator/>
      </w:r>
    </w:p>
  </w:endnote>
  <w:endnote w:type="continuationSeparator" w:id="0">
    <w:p w14:paraId="20DCD441" w14:textId="77777777" w:rsidR="00EB1B24" w:rsidRDefault="00EB1B24" w:rsidP="0019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262591"/>
      <w:docPartObj>
        <w:docPartGallery w:val="Page Numbers (Bottom of Page)"/>
        <w:docPartUnique/>
      </w:docPartObj>
    </w:sdtPr>
    <w:sdtContent>
      <w:p w14:paraId="0A147080" w14:textId="3FC2DEA3" w:rsidR="00193F57" w:rsidRDefault="00193F5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2DB">
          <w:rPr>
            <w:noProof/>
          </w:rPr>
          <w:t>2</w:t>
        </w:r>
        <w:r>
          <w:fldChar w:fldCharType="end"/>
        </w:r>
      </w:p>
    </w:sdtContent>
  </w:sdt>
  <w:p w14:paraId="39AA7434" w14:textId="77777777" w:rsidR="00193F57" w:rsidRDefault="00193F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20AB" w14:textId="77777777" w:rsidR="00EB1B24" w:rsidRDefault="00EB1B24" w:rsidP="00193F57">
      <w:pPr>
        <w:spacing w:after="0" w:line="240" w:lineRule="auto"/>
      </w:pPr>
      <w:r>
        <w:separator/>
      </w:r>
    </w:p>
  </w:footnote>
  <w:footnote w:type="continuationSeparator" w:id="0">
    <w:p w14:paraId="31DEC1F9" w14:textId="77777777" w:rsidR="00EB1B24" w:rsidRDefault="00EB1B24" w:rsidP="0019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14BF2"/>
    <w:multiLevelType w:val="hybridMultilevel"/>
    <w:tmpl w:val="C9EAAD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44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774"/>
    <w:rsid w:val="000364BE"/>
    <w:rsid w:val="00076EAE"/>
    <w:rsid w:val="000A4271"/>
    <w:rsid w:val="000B0E91"/>
    <w:rsid w:val="000B3738"/>
    <w:rsid w:val="001154F2"/>
    <w:rsid w:val="001474B8"/>
    <w:rsid w:val="00160984"/>
    <w:rsid w:val="00164D6D"/>
    <w:rsid w:val="00193F57"/>
    <w:rsid w:val="001B5E87"/>
    <w:rsid w:val="001E1883"/>
    <w:rsid w:val="001E3C21"/>
    <w:rsid w:val="001E5DE0"/>
    <w:rsid w:val="001F2273"/>
    <w:rsid w:val="001F3295"/>
    <w:rsid w:val="00201025"/>
    <w:rsid w:val="00201896"/>
    <w:rsid w:val="00227841"/>
    <w:rsid w:val="00227F04"/>
    <w:rsid w:val="0027326F"/>
    <w:rsid w:val="00280B0D"/>
    <w:rsid w:val="00283996"/>
    <w:rsid w:val="002859DA"/>
    <w:rsid w:val="002A2B1B"/>
    <w:rsid w:val="002A74EC"/>
    <w:rsid w:val="002B69EF"/>
    <w:rsid w:val="002C7396"/>
    <w:rsid w:val="002E24B9"/>
    <w:rsid w:val="002F293F"/>
    <w:rsid w:val="00313C54"/>
    <w:rsid w:val="00314C29"/>
    <w:rsid w:val="00333AF8"/>
    <w:rsid w:val="00347632"/>
    <w:rsid w:val="00360529"/>
    <w:rsid w:val="00365A7A"/>
    <w:rsid w:val="00366B76"/>
    <w:rsid w:val="00372B4E"/>
    <w:rsid w:val="00377517"/>
    <w:rsid w:val="0038065B"/>
    <w:rsid w:val="00380A16"/>
    <w:rsid w:val="003928A6"/>
    <w:rsid w:val="003928F8"/>
    <w:rsid w:val="003B392B"/>
    <w:rsid w:val="003C4DE4"/>
    <w:rsid w:val="003D7B62"/>
    <w:rsid w:val="00401F51"/>
    <w:rsid w:val="00417446"/>
    <w:rsid w:val="00417DE7"/>
    <w:rsid w:val="00441266"/>
    <w:rsid w:val="00452A7A"/>
    <w:rsid w:val="004819F2"/>
    <w:rsid w:val="004D5099"/>
    <w:rsid w:val="005003B4"/>
    <w:rsid w:val="00504677"/>
    <w:rsid w:val="00515E19"/>
    <w:rsid w:val="005173A4"/>
    <w:rsid w:val="00517C06"/>
    <w:rsid w:val="00524076"/>
    <w:rsid w:val="00526656"/>
    <w:rsid w:val="00554030"/>
    <w:rsid w:val="00562C94"/>
    <w:rsid w:val="005676C0"/>
    <w:rsid w:val="005752B3"/>
    <w:rsid w:val="005B7324"/>
    <w:rsid w:val="005E1E34"/>
    <w:rsid w:val="005F3ED9"/>
    <w:rsid w:val="0060227A"/>
    <w:rsid w:val="00603C92"/>
    <w:rsid w:val="006070F4"/>
    <w:rsid w:val="00617B29"/>
    <w:rsid w:val="006267BA"/>
    <w:rsid w:val="00631E81"/>
    <w:rsid w:val="0065400F"/>
    <w:rsid w:val="00656F0C"/>
    <w:rsid w:val="0066230B"/>
    <w:rsid w:val="0069106C"/>
    <w:rsid w:val="006931FD"/>
    <w:rsid w:val="006C4CDC"/>
    <w:rsid w:val="006F51FA"/>
    <w:rsid w:val="00714DC4"/>
    <w:rsid w:val="00717A79"/>
    <w:rsid w:val="00741DB5"/>
    <w:rsid w:val="0074547F"/>
    <w:rsid w:val="00747D77"/>
    <w:rsid w:val="007518A7"/>
    <w:rsid w:val="007569DE"/>
    <w:rsid w:val="0076259E"/>
    <w:rsid w:val="007A2B4E"/>
    <w:rsid w:val="007A63D2"/>
    <w:rsid w:val="007B466E"/>
    <w:rsid w:val="007B6137"/>
    <w:rsid w:val="007C0DE5"/>
    <w:rsid w:val="007D54FA"/>
    <w:rsid w:val="00802A2E"/>
    <w:rsid w:val="0081697D"/>
    <w:rsid w:val="008518EA"/>
    <w:rsid w:val="0085737B"/>
    <w:rsid w:val="008873F9"/>
    <w:rsid w:val="008B2E73"/>
    <w:rsid w:val="008E0048"/>
    <w:rsid w:val="008F6002"/>
    <w:rsid w:val="009413FE"/>
    <w:rsid w:val="00946475"/>
    <w:rsid w:val="0097649C"/>
    <w:rsid w:val="0097687A"/>
    <w:rsid w:val="0099012D"/>
    <w:rsid w:val="009A11FC"/>
    <w:rsid w:val="009A1ABA"/>
    <w:rsid w:val="009B24D0"/>
    <w:rsid w:val="009B380B"/>
    <w:rsid w:val="009F70CB"/>
    <w:rsid w:val="009F7CCF"/>
    <w:rsid w:val="00A07875"/>
    <w:rsid w:val="00A127D4"/>
    <w:rsid w:val="00A37510"/>
    <w:rsid w:val="00A71A9B"/>
    <w:rsid w:val="00A763B0"/>
    <w:rsid w:val="00A801ED"/>
    <w:rsid w:val="00A949EF"/>
    <w:rsid w:val="00AA5F2A"/>
    <w:rsid w:val="00AB2BC7"/>
    <w:rsid w:val="00AC344E"/>
    <w:rsid w:val="00AE5B6C"/>
    <w:rsid w:val="00AF00B9"/>
    <w:rsid w:val="00B01108"/>
    <w:rsid w:val="00B0746E"/>
    <w:rsid w:val="00B16DD7"/>
    <w:rsid w:val="00B23943"/>
    <w:rsid w:val="00B27518"/>
    <w:rsid w:val="00B27877"/>
    <w:rsid w:val="00B303D3"/>
    <w:rsid w:val="00B40F8C"/>
    <w:rsid w:val="00B522DB"/>
    <w:rsid w:val="00B56965"/>
    <w:rsid w:val="00B657D6"/>
    <w:rsid w:val="00B86176"/>
    <w:rsid w:val="00B95F49"/>
    <w:rsid w:val="00B97CE7"/>
    <w:rsid w:val="00C07FCA"/>
    <w:rsid w:val="00C6130A"/>
    <w:rsid w:val="00C62576"/>
    <w:rsid w:val="00C71A67"/>
    <w:rsid w:val="00C93BE7"/>
    <w:rsid w:val="00CA0269"/>
    <w:rsid w:val="00CA52BF"/>
    <w:rsid w:val="00CB5B6F"/>
    <w:rsid w:val="00CC275B"/>
    <w:rsid w:val="00CE29A0"/>
    <w:rsid w:val="00D346E7"/>
    <w:rsid w:val="00D535A5"/>
    <w:rsid w:val="00D6425B"/>
    <w:rsid w:val="00DA27E1"/>
    <w:rsid w:val="00DC421A"/>
    <w:rsid w:val="00DD7676"/>
    <w:rsid w:val="00E218D1"/>
    <w:rsid w:val="00E559B4"/>
    <w:rsid w:val="00E66046"/>
    <w:rsid w:val="00E762A6"/>
    <w:rsid w:val="00E82136"/>
    <w:rsid w:val="00E93A84"/>
    <w:rsid w:val="00EA2774"/>
    <w:rsid w:val="00EA7E45"/>
    <w:rsid w:val="00EB1B24"/>
    <w:rsid w:val="00EE2EF0"/>
    <w:rsid w:val="00EF167F"/>
    <w:rsid w:val="00EF6316"/>
    <w:rsid w:val="00F06DBA"/>
    <w:rsid w:val="00F07846"/>
    <w:rsid w:val="00F270D7"/>
    <w:rsid w:val="00F61BA3"/>
    <w:rsid w:val="00F74E99"/>
    <w:rsid w:val="00F83732"/>
    <w:rsid w:val="00FA4C56"/>
    <w:rsid w:val="00FD3E0A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5257"/>
  <w15:chartTrackingRefBased/>
  <w15:docId w15:val="{055D563C-F875-466F-95F9-DA31109A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7B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3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F57"/>
  </w:style>
  <w:style w:type="paragraph" w:styleId="Pidipagina">
    <w:name w:val="footer"/>
    <w:basedOn w:val="Normale"/>
    <w:link w:val="PidipaginaCarattere"/>
    <w:uiPriority w:val="99"/>
    <w:unhideWhenUsed/>
    <w:rsid w:val="00193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F57"/>
  </w:style>
  <w:style w:type="character" w:styleId="Collegamentoipertestuale">
    <w:name w:val="Hyperlink"/>
    <w:basedOn w:val="Carpredefinitoparagrafo"/>
    <w:uiPriority w:val="99"/>
    <w:unhideWhenUsed/>
    <w:rsid w:val="005046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4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bruno.giacometti@regione.emilia.romag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648EE657E5C144931FDBEEC1568DBB" ma:contentTypeVersion="10" ma:contentTypeDescription="Creare un nuovo documento." ma:contentTypeScope="" ma:versionID="a586a9650daed98711fc6f64818bf75e">
  <xsd:schema xmlns:xsd="http://www.w3.org/2001/XMLSchema" xmlns:xs="http://www.w3.org/2001/XMLSchema" xmlns:p="http://schemas.microsoft.com/office/2006/metadata/properties" xmlns:ns3="113b1547-ba0b-4f2f-917b-a3d5b9db0c2d" targetNamespace="http://schemas.microsoft.com/office/2006/metadata/properties" ma:root="true" ma:fieldsID="4c4b3729ea46e053cfe6d38c74512460" ns3:_="">
    <xsd:import namespace="113b1547-ba0b-4f2f-917b-a3d5b9db0c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b1547-ba0b-4f2f-917b-a3d5b9db0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C198C3-B1AB-40C8-B06C-6933637A4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8C12B-02B8-45E1-999A-E859568A5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b1547-ba0b-4f2f-917b-a3d5b9db0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CF314-0133-4A06-80B2-D7F0D609F7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Giacometti Bruno</dc:creator>
  <cp:keywords/>
  <dc:description/>
  <cp:lastModifiedBy>Grenni Antonella</cp:lastModifiedBy>
  <cp:revision>2</cp:revision>
  <dcterms:created xsi:type="dcterms:W3CDTF">2023-08-03T10:24:00Z</dcterms:created>
  <dcterms:modified xsi:type="dcterms:W3CDTF">2023-08-03T10:24:00Z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0x010100FB648EE657E5C144931FDBEEC1568DBB</vt:lpwstr>
  </property>
</Properties>
</file>